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53D7" w14:textId="183066BB" w:rsidR="00ED15B6" w:rsidRPr="002B26C6" w:rsidRDefault="00ED15B6" w:rsidP="007455E9">
      <w:pPr>
        <w:spacing w:after="0" w:line="240" w:lineRule="auto"/>
        <w:jc w:val="center"/>
        <w:rPr>
          <w:b/>
        </w:rPr>
      </w:pPr>
      <w:r w:rsidRPr="002B26C6">
        <w:rPr>
          <w:b/>
        </w:rPr>
        <w:t>OPIS PREDMETU ZÁKAZKY</w:t>
      </w:r>
    </w:p>
    <w:p w14:paraId="11E257B1" w14:textId="77777777" w:rsidR="00ED15B6" w:rsidRPr="002B26C6" w:rsidRDefault="00ED15B6" w:rsidP="007455E9">
      <w:pPr>
        <w:spacing w:after="0" w:line="240" w:lineRule="auto"/>
        <w:jc w:val="center"/>
        <w:rPr>
          <w:b/>
        </w:rPr>
      </w:pPr>
      <w:r w:rsidRPr="002B26C6">
        <w:rPr>
          <w:b/>
        </w:rPr>
        <w:t>PREDMET ZÁKAZKY:</w:t>
      </w:r>
    </w:p>
    <w:p w14:paraId="2AEB3070" w14:textId="4A882C1C" w:rsidR="006053CA" w:rsidRPr="002B26C6" w:rsidRDefault="00D07D89" w:rsidP="007455E9">
      <w:pPr>
        <w:spacing w:after="0" w:line="240" w:lineRule="auto"/>
        <w:jc w:val="center"/>
        <w:rPr>
          <w:b/>
          <w:color w:val="0070C0"/>
        </w:rPr>
      </w:pPr>
      <w:r w:rsidRPr="00D07D89">
        <w:rPr>
          <w:b/>
          <w:color w:val="0070C0"/>
        </w:rPr>
        <w:t xml:space="preserve">Posudok vplyvu stavby rýchlostnej cesty R7 na udržateľnosť pravidelnej linky vodnej prepravy </w:t>
      </w:r>
      <w:proofErr w:type="spellStart"/>
      <w:r w:rsidRPr="00D07D89">
        <w:rPr>
          <w:b/>
          <w:color w:val="0070C0"/>
        </w:rPr>
        <w:t>Dunajbus</w:t>
      </w:r>
      <w:proofErr w:type="spellEnd"/>
    </w:p>
    <w:p w14:paraId="5EE52193" w14:textId="2563325F" w:rsidR="007455E9" w:rsidRDefault="007455E9" w:rsidP="007455E9">
      <w:pPr>
        <w:spacing w:after="0" w:line="240" w:lineRule="auto"/>
        <w:rPr>
          <w:b/>
          <w:color w:val="FF0000"/>
        </w:rPr>
      </w:pPr>
    </w:p>
    <w:p w14:paraId="1A583B6A" w14:textId="05D0C3C9" w:rsidR="00AE1310" w:rsidRPr="00EE3E11" w:rsidRDefault="00EE3E11" w:rsidP="00AE1310">
      <w:pPr>
        <w:spacing w:after="0" w:line="240" w:lineRule="auto"/>
        <w:rPr>
          <w:b/>
          <w:color w:val="FF0000"/>
        </w:rPr>
      </w:pPr>
      <w:r w:rsidRPr="00EE3E11">
        <w:rPr>
          <w:b/>
          <w:color w:val="FF0000"/>
          <w:u w:val="single"/>
        </w:rPr>
        <w:t xml:space="preserve">A. </w:t>
      </w:r>
      <w:r w:rsidR="00AE1310" w:rsidRPr="00EE3E11">
        <w:rPr>
          <w:b/>
          <w:color w:val="FF0000"/>
          <w:u w:val="single"/>
        </w:rPr>
        <w:t>Opis premetu zákazky</w:t>
      </w:r>
      <w:r w:rsidR="00AE1310" w:rsidRPr="00EE3E11">
        <w:rPr>
          <w:b/>
          <w:color w:val="FF0000"/>
        </w:rPr>
        <w:t>:</w:t>
      </w:r>
    </w:p>
    <w:p w14:paraId="5A2096BB" w14:textId="2F436112" w:rsidR="00924685" w:rsidRDefault="00924685" w:rsidP="00AE1310">
      <w:pPr>
        <w:spacing w:after="0" w:line="240" w:lineRule="auto"/>
        <w:rPr>
          <w:color w:val="000000" w:themeColor="text1"/>
        </w:rPr>
      </w:pPr>
    </w:p>
    <w:p w14:paraId="58AF454F" w14:textId="77777777" w:rsidR="00D07D89" w:rsidRDefault="00D07D89" w:rsidP="00D07D8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7243">
        <w:rPr>
          <w:rFonts w:asciiTheme="majorHAnsi" w:hAnsiTheme="majorHAnsi" w:cstheme="majorHAnsi"/>
          <w:sz w:val="20"/>
          <w:szCs w:val="20"/>
        </w:rPr>
        <w:t xml:space="preserve">Predmetom zákazky </w:t>
      </w:r>
      <w:r>
        <w:rPr>
          <w:rFonts w:asciiTheme="majorHAnsi" w:hAnsiTheme="majorHAnsi" w:cstheme="majorHAnsi"/>
          <w:sz w:val="20"/>
          <w:szCs w:val="20"/>
        </w:rPr>
        <w:t xml:space="preserve">je spracovanie </w:t>
      </w:r>
      <w:r w:rsidRPr="00D50273">
        <w:rPr>
          <w:rFonts w:asciiTheme="majorHAnsi" w:hAnsiTheme="majorHAnsi" w:cstheme="majorHAnsi"/>
          <w:sz w:val="20"/>
          <w:szCs w:val="20"/>
        </w:rPr>
        <w:t>Posud</w:t>
      </w:r>
      <w:r>
        <w:rPr>
          <w:rFonts w:asciiTheme="majorHAnsi" w:hAnsiTheme="majorHAnsi" w:cstheme="majorHAnsi"/>
          <w:sz w:val="20"/>
          <w:szCs w:val="20"/>
        </w:rPr>
        <w:t>ku</w:t>
      </w:r>
      <w:r w:rsidRPr="00D50273">
        <w:rPr>
          <w:rFonts w:asciiTheme="majorHAnsi" w:hAnsiTheme="majorHAnsi" w:cstheme="majorHAnsi"/>
          <w:sz w:val="20"/>
          <w:szCs w:val="20"/>
        </w:rPr>
        <w:t xml:space="preserve"> vplyvu stavby rýchlostnej cesty R7 na udržateľnosť pravidelnej linky vodnej prepravy </w:t>
      </w:r>
      <w:proofErr w:type="spellStart"/>
      <w:r w:rsidRPr="00D50273">
        <w:rPr>
          <w:rFonts w:asciiTheme="majorHAnsi" w:hAnsiTheme="majorHAnsi" w:cstheme="majorHAnsi"/>
          <w:sz w:val="20"/>
          <w:szCs w:val="20"/>
        </w:rPr>
        <w:t>Dunajbus</w:t>
      </w:r>
      <w:proofErr w:type="spellEnd"/>
      <w:r>
        <w:rPr>
          <w:rFonts w:asciiTheme="majorHAnsi" w:hAnsiTheme="majorHAnsi" w:cstheme="majorHAnsi"/>
          <w:sz w:val="20"/>
          <w:szCs w:val="20"/>
        </w:rPr>
        <w:t>, a to v nasledujúcom rozsahu:</w:t>
      </w:r>
    </w:p>
    <w:p w14:paraId="5702CAE7" w14:textId="668B1EC2" w:rsidR="00D07D89" w:rsidRDefault="00D07D89" w:rsidP="00D07D8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b/>
          <w:sz w:val="20"/>
          <w:szCs w:val="20"/>
        </w:rPr>
        <w:t>dopravný model</w:t>
      </w:r>
      <w:r>
        <w:rPr>
          <w:rFonts w:asciiTheme="majorHAnsi" w:hAnsiTheme="majorHAnsi" w:cstheme="majorHAnsi"/>
          <w:sz w:val="20"/>
          <w:szCs w:val="20"/>
        </w:rPr>
        <w:t xml:space="preserve"> potrebný pre spracovanie bodov 2, 3 obsahujúci nasledujúce informácie </w:t>
      </w:r>
    </w:p>
    <w:p w14:paraId="212EECA4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>Priemerný počet obyvateľov odchádzajúcich do Bratislavy so záujmom o POLD za rok (</w:t>
      </w:r>
      <w:proofErr w:type="spellStart"/>
      <w:r w:rsidRPr="00AC2000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AC2000">
        <w:rPr>
          <w:rFonts w:asciiTheme="majorHAnsi" w:hAnsiTheme="majorHAnsi" w:cstheme="majorHAnsi"/>
          <w:sz w:val="20"/>
          <w:szCs w:val="20"/>
        </w:rPr>
        <w:t xml:space="preserve">. priemerný počet všetkých </w:t>
      </w:r>
      <w:proofErr w:type="spellStart"/>
      <w:r w:rsidRPr="00AC2000">
        <w:rPr>
          <w:rFonts w:asciiTheme="majorHAnsi" w:hAnsiTheme="majorHAnsi" w:cstheme="majorHAnsi"/>
          <w:sz w:val="20"/>
          <w:szCs w:val="20"/>
        </w:rPr>
        <w:t>odchádzok</w:t>
      </w:r>
      <w:proofErr w:type="spellEnd"/>
      <w:r w:rsidRPr="00AC2000">
        <w:rPr>
          <w:rFonts w:asciiTheme="majorHAnsi" w:hAnsiTheme="majorHAnsi" w:cstheme="majorHAnsi"/>
          <w:sz w:val="20"/>
          <w:szCs w:val="20"/>
        </w:rPr>
        <w:t xml:space="preserve"> do Bratislavy, pri ktorých by bol záujem o POLD, za rok) - pre optimistický a pesimistický variant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20391890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>Z toho podelené medzi IAD, autobus a vlak - pre optimistický a pesimistický variant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496FFCA4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Z toho podelené podľa účelu medzi dochádzanie do práce a iné (súkromné) - pre optimistický a pesimistický variant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683BFF7C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>Priemerná doba cestovania bez projektu POLD (</w:t>
      </w:r>
      <w:proofErr w:type="spellStart"/>
      <w:r w:rsidRPr="00AC2000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AC2000">
        <w:rPr>
          <w:rFonts w:asciiTheme="majorHAnsi" w:hAnsiTheme="majorHAnsi" w:cstheme="majorHAnsi"/>
          <w:sz w:val="20"/>
          <w:szCs w:val="20"/>
        </w:rPr>
        <w:t>. doterajšími pôvodnými spôsobmi dopravy) v delení na IAD, autobus a vlak v roku 2019 (h/deň)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60C52511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Priemerná doba cestovania bez projektu POLD (</w:t>
      </w:r>
      <w:proofErr w:type="spellStart"/>
      <w:r w:rsidRPr="00AC2000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AC2000">
        <w:rPr>
          <w:rFonts w:asciiTheme="majorHAnsi" w:hAnsiTheme="majorHAnsi" w:cstheme="majorHAnsi"/>
          <w:sz w:val="20"/>
          <w:szCs w:val="20"/>
        </w:rPr>
        <w:t>. doterajšími pôvodnými spôsobmi dopravy) v delení na IAD, autobus a vlak v roku 2049 (h/deň)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062BE208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 xml:space="preserve"> Na základe počtu "cestujúcich" presunutých z IAD na POLD kvantifikovať zníženie množstva vozidiel IAD dochádzajúcich do Bratislavy na ročnej báze (zohľadniť priemernú obsadenosť vozidiel) - pre optimistický a pesimistický variant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5C8B131D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 xml:space="preserve">Na základe počtu "cestujúcich" presunutých z IAD na POLD stanoviť množstvo ušetrených </w:t>
      </w:r>
      <w:proofErr w:type="spellStart"/>
      <w:r w:rsidRPr="00AC2000">
        <w:rPr>
          <w:rFonts w:asciiTheme="majorHAnsi" w:hAnsiTheme="majorHAnsi" w:cstheme="majorHAnsi"/>
          <w:sz w:val="20"/>
          <w:szCs w:val="20"/>
        </w:rPr>
        <w:t>vozokilometrov</w:t>
      </w:r>
      <w:proofErr w:type="spellEnd"/>
      <w:r w:rsidRPr="00AC2000">
        <w:rPr>
          <w:rFonts w:asciiTheme="majorHAnsi" w:hAnsiTheme="majorHAnsi" w:cstheme="majorHAnsi"/>
          <w:sz w:val="20"/>
          <w:szCs w:val="20"/>
        </w:rPr>
        <w:t xml:space="preserve"> na ročnej báze - pre optimistický a pesimistický variant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5E6920F1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Z toho podelené podľa typu pozemnej komunikácie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2219C7D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a)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4 pruh v extraviláne, </w:t>
      </w:r>
    </w:p>
    <w:p w14:paraId="5E7D2034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b)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4 pruh v intraviláne (smerovo rozdelená cesta), </w:t>
      </w:r>
    </w:p>
    <w:p w14:paraId="01495EF6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c)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4 pruh v intraviláne (smerovo nerozdelená cesta), </w:t>
      </w:r>
    </w:p>
    <w:p w14:paraId="76CCB557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d)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2 pruh v extraviláne – široký (kategória 9,5 – 11,5), </w:t>
      </w:r>
    </w:p>
    <w:p w14:paraId="2655D0BB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e)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2 pruh v extraviláne – úzky (kategória 7,5 – 9,5 bez krajníc), </w:t>
      </w:r>
    </w:p>
    <w:p w14:paraId="45355A31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f)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2 pruh v intraviláne – široký (šírka jazdného pruhu nad 3m a MK s núdzovým, alebo zastavovacím pruhom), </w:t>
      </w:r>
    </w:p>
    <w:p w14:paraId="2AD1F5D9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g)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2 pruh v intraviláne – úzky (šírka pruhu 3m a menej), </w:t>
      </w:r>
    </w:p>
    <w:p w14:paraId="53D15CD3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h)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3 pruh (striedanie pruhov) </w:t>
      </w:r>
    </w:p>
    <w:p w14:paraId="21E2E013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pre optimistický a pesimistický variant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17BAEF14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Stanoviť a oceniť mieru znečistenia životného prostredia bez projektu POLD v roku 2019 a v roku 2049 - pre optimistický a pesimistický variant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79729240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 xml:space="preserve">Na základe identifikovaného údaju ohľadom zníženého množstva vozidiel IAD dochádzajúcich do Bratislavy (presun cestujúcich na POLD) na ročnej báze </w:t>
      </w:r>
    </w:p>
    <w:p w14:paraId="3B61A619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 xml:space="preserve">Zoznam zahrnutých znečisťujúcich látok: </w:t>
      </w:r>
    </w:p>
    <w:p w14:paraId="2C2DE8DF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a)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primárne PM2.5 pre emisie z dopravy (monitorované osobitne pre mestské a vidiecke oblasti), </w:t>
      </w:r>
    </w:p>
    <w:p w14:paraId="784B7A0A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b)</w:t>
      </w:r>
      <w:r w:rsidRPr="00AC2000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AC2000">
        <w:rPr>
          <w:rFonts w:asciiTheme="majorHAnsi" w:hAnsiTheme="majorHAnsi" w:cstheme="majorHAnsi"/>
          <w:sz w:val="20"/>
          <w:szCs w:val="20"/>
        </w:rPr>
        <w:t>NOx</w:t>
      </w:r>
      <w:proofErr w:type="spellEnd"/>
      <w:r w:rsidRPr="00AC2000">
        <w:rPr>
          <w:rFonts w:asciiTheme="majorHAnsi" w:hAnsiTheme="majorHAnsi" w:cstheme="majorHAnsi"/>
          <w:sz w:val="20"/>
          <w:szCs w:val="20"/>
        </w:rPr>
        <w:t xml:space="preserve"> ako prekurzor aerosólov nitrátov a ozónu, </w:t>
      </w:r>
    </w:p>
    <w:p w14:paraId="0295D955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c)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SO2 pre priame vplyvy a ako prekurzor aerosólov sulfátov, </w:t>
      </w:r>
    </w:p>
    <w:p w14:paraId="49BF438E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sz w:val="20"/>
          <w:szCs w:val="20"/>
        </w:rPr>
        <w:t>d)</w:t>
      </w:r>
      <w:r w:rsidRPr="00AC2000">
        <w:rPr>
          <w:rFonts w:asciiTheme="majorHAnsi" w:hAnsiTheme="majorHAnsi" w:cstheme="majorHAnsi"/>
          <w:sz w:val="20"/>
          <w:szCs w:val="20"/>
        </w:rPr>
        <w:tab/>
        <w:t xml:space="preserve">NMVOC ako prekurzor ozónu. </w:t>
      </w:r>
    </w:p>
    <w:p w14:paraId="498F88D6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>Celkový vplyv znečistenia = Zmeny v tonách znečisťujúcich látok za rok * Jednotková hodnota znečisťujúcej látky v danom roku</w:t>
      </w:r>
    </w:p>
    <w:p w14:paraId="228159F4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Stanoviť množstvo ušetrených ton CO2, N2O a CH4 za rok (zohľadniť druh dopravy, priemernú rýchlosť, hustotu premávky a ďalšie relevantné)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  <w:u w:val="single"/>
        </w:rPr>
        <w:t>so zohľadnením vplyvu rýchlostnej cesty R7</w:t>
      </w:r>
    </w:p>
    <w:p w14:paraId="5764A1CF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AC2000">
        <w:rPr>
          <w:rFonts w:asciiTheme="majorHAnsi" w:hAnsiTheme="majorHAnsi" w:cstheme="majorHAnsi"/>
          <w:sz w:val="20"/>
          <w:szCs w:val="20"/>
        </w:rPr>
        <w:t>Na základe identifikovaného údaju ohľadom zníženého množstva vozidiel IAD dochádzajúcich do Bratislavy (presun cestujúcich na POLD) na ročnej báze</w:t>
      </w:r>
    </w:p>
    <w:p w14:paraId="4AA05691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podrobný opis súčasného variantu dopravy (alebo tzv. nulového variantu) z hľadiska využitia kapacity a sociálno-ekonomických vplyvov (napr. súčasné časy prepravy, spotreba PH a nehodovosť v prípade cestnej dopravy)</w:t>
      </w:r>
    </w:p>
    <w:p w14:paraId="0425E6C0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minulá (za posledných 10 rokov) a predpokladaná premávka na existujúcej sieti z hľadiska ročného priemeru dennej premávky;</w:t>
      </w:r>
      <w:r w:rsidRPr="00AC2000">
        <w:rPr>
          <w:rFonts w:asciiTheme="majorHAnsi" w:hAnsiTheme="majorHAnsi" w:cstheme="majorHAnsi"/>
          <w:sz w:val="20"/>
          <w:szCs w:val="20"/>
        </w:rPr>
        <w:tab/>
      </w:r>
    </w:p>
    <w:p w14:paraId="3D1200B5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</w:t>
      </w:r>
      <w:r w:rsidRPr="00AC2000">
        <w:rPr>
          <w:rFonts w:asciiTheme="majorHAnsi" w:hAnsiTheme="majorHAnsi" w:cstheme="majorHAnsi"/>
          <w:sz w:val="20"/>
          <w:szCs w:val="20"/>
        </w:rPr>
        <w:t>iery rastu pre existujúcu premávku v scenári „bez realizácie projektu“</w:t>
      </w:r>
      <w:r w:rsidRPr="00AC2000">
        <w:rPr>
          <w:rFonts w:asciiTheme="majorHAnsi" w:hAnsiTheme="majorHAnsi" w:cstheme="majorHAnsi"/>
          <w:sz w:val="20"/>
          <w:szCs w:val="20"/>
        </w:rPr>
        <w:tab/>
      </w:r>
    </w:p>
    <w:p w14:paraId="76B1F8FE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</w:t>
      </w:r>
      <w:r w:rsidRPr="00AC2000">
        <w:rPr>
          <w:rFonts w:asciiTheme="majorHAnsi" w:hAnsiTheme="majorHAnsi" w:cstheme="majorHAnsi"/>
          <w:sz w:val="20"/>
          <w:szCs w:val="20"/>
        </w:rPr>
        <w:t xml:space="preserve">iery rastu pre existujúcu, odklonenú a vyvolanú premávku v scenári „s realizáciou projektu“ </w:t>
      </w:r>
    </w:p>
    <w:p w14:paraId="24AA0EED" w14:textId="77777777" w:rsidR="00D07D89" w:rsidRPr="00AC2000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</w:t>
      </w:r>
      <w:r w:rsidRPr="00AC2000">
        <w:rPr>
          <w:rFonts w:asciiTheme="majorHAnsi" w:hAnsiTheme="majorHAnsi" w:cstheme="majorHAnsi"/>
          <w:sz w:val="20"/>
          <w:szCs w:val="20"/>
        </w:rPr>
        <w:t xml:space="preserve">etóda použitá pre prerozdelenie dopravy, zmena modálneho </w:t>
      </w:r>
      <w:proofErr w:type="spellStart"/>
      <w:r w:rsidRPr="00AC2000">
        <w:rPr>
          <w:rFonts w:asciiTheme="majorHAnsi" w:hAnsiTheme="majorHAnsi" w:cstheme="majorHAnsi"/>
          <w:sz w:val="20"/>
          <w:szCs w:val="20"/>
        </w:rPr>
        <w:t>splitu</w:t>
      </w:r>
      <w:proofErr w:type="spellEnd"/>
      <w:r w:rsidRPr="00AC200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B0B6E3E" w14:textId="04EAB6E5" w:rsidR="00D07D89" w:rsidRDefault="00D07D89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AC200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AC2000">
        <w:rPr>
          <w:rFonts w:asciiTheme="majorHAnsi" w:hAnsiTheme="majorHAnsi" w:cstheme="majorHAnsi"/>
          <w:sz w:val="20"/>
          <w:szCs w:val="20"/>
        </w:rPr>
        <w:t>merový model potreby integrácie POLD na ďalšie formy MHD v jednotlivých prístaviskách (dopravno-kapacitná analýza dostupnosti MHD v jednotlivých prístaviskách)</w:t>
      </w:r>
    </w:p>
    <w:p w14:paraId="32A2E6AE" w14:textId="77777777" w:rsidR="00204593" w:rsidRDefault="00204593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63BDF1" w14:textId="14A7F826" w:rsidR="00204593" w:rsidRPr="00204593" w:rsidRDefault="00204593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04593">
        <w:rPr>
          <w:rFonts w:asciiTheme="majorHAnsi" w:hAnsiTheme="majorHAnsi" w:cstheme="majorHAnsi"/>
          <w:b/>
          <w:sz w:val="20"/>
          <w:szCs w:val="20"/>
        </w:rPr>
        <w:t>Správa k dopravnému modelu obsahujúca nasledujúce informácie:</w:t>
      </w:r>
    </w:p>
    <w:p w14:paraId="643A8EA3" w14:textId="2E786266" w:rsidR="0000244C" w:rsidRPr="0037616A" w:rsidRDefault="0000244C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7616A">
        <w:rPr>
          <w:rFonts w:asciiTheme="majorHAnsi" w:hAnsiTheme="majorHAnsi" w:cstheme="majorHAnsi"/>
          <w:sz w:val="20"/>
          <w:szCs w:val="20"/>
        </w:rPr>
        <w:t>Metóda použitá pre analýzu dopytu a prognózu</w:t>
      </w:r>
      <w:r w:rsidRPr="0037616A">
        <w:rPr>
          <w:rFonts w:asciiTheme="majorHAnsi" w:hAnsiTheme="majorHAnsi" w:cstheme="majorHAnsi"/>
          <w:sz w:val="20"/>
          <w:szCs w:val="20"/>
        </w:rPr>
        <w:tab/>
      </w:r>
    </w:p>
    <w:p w14:paraId="357EEA8B" w14:textId="77777777" w:rsidR="0000244C" w:rsidRPr="0037616A" w:rsidRDefault="0000244C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7616A">
        <w:rPr>
          <w:rFonts w:asciiTheme="majorHAnsi" w:hAnsiTheme="majorHAnsi" w:cstheme="majorHAnsi"/>
          <w:sz w:val="20"/>
          <w:szCs w:val="20"/>
        </w:rPr>
        <w:t>Minulá a predpokladaná premávka</w:t>
      </w:r>
      <w:r w:rsidRPr="0037616A">
        <w:rPr>
          <w:rFonts w:asciiTheme="majorHAnsi" w:hAnsiTheme="majorHAnsi" w:cstheme="majorHAnsi"/>
          <w:sz w:val="20"/>
          <w:szCs w:val="20"/>
        </w:rPr>
        <w:tab/>
      </w:r>
    </w:p>
    <w:p w14:paraId="60F89C7A" w14:textId="77777777" w:rsidR="0000244C" w:rsidRPr="0037616A" w:rsidRDefault="0000244C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7616A">
        <w:rPr>
          <w:rFonts w:asciiTheme="majorHAnsi" w:hAnsiTheme="majorHAnsi" w:cstheme="majorHAnsi"/>
          <w:sz w:val="20"/>
          <w:szCs w:val="20"/>
        </w:rPr>
        <w:t>Existujúca a vyvolaná premávka</w:t>
      </w:r>
      <w:r w:rsidRPr="0037616A">
        <w:rPr>
          <w:rFonts w:asciiTheme="majorHAnsi" w:hAnsiTheme="majorHAnsi" w:cstheme="majorHAnsi"/>
          <w:sz w:val="20"/>
          <w:szCs w:val="20"/>
        </w:rPr>
        <w:tab/>
      </w:r>
    </w:p>
    <w:p w14:paraId="7E9D6708" w14:textId="52CE4BE4" w:rsidR="0000244C" w:rsidRPr="0000244C" w:rsidRDefault="0000244C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00244C">
        <w:rPr>
          <w:rFonts w:asciiTheme="majorHAnsi" w:hAnsiTheme="majorHAnsi" w:cstheme="majorHAnsi"/>
          <w:sz w:val="20"/>
          <w:szCs w:val="20"/>
        </w:rPr>
        <w:t>Miery rastu pre existujúcu premávku v scenári „bez realizácie projektu“</w:t>
      </w:r>
      <w:r w:rsidRPr="0000244C">
        <w:rPr>
          <w:rFonts w:asciiTheme="majorHAnsi" w:hAnsiTheme="majorHAnsi" w:cstheme="majorHAnsi"/>
          <w:sz w:val="20"/>
          <w:szCs w:val="20"/>
        </w:rPr>
        <w:tab/>
      </w:r>
    </w:p>
    <w:p w14:paraId="7786A7FF" w14:textId="3AEE9705" w:rsidR="0000244C" w:rsidRPr="0000244C" w:rsidRDefault="0000244C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00244C">
        <w:rPr>
          <w:rFonts w:asciiTheme="majorHAnsi" w:hAnsiTheme="majorHAnsi" w:cstheme="majorHAnsi"/>
          <w:sz w:val="20"/>
          <w:szCs w:val="20"/>
        </w:rPr>
        <w:t xml:space="preserve"> Miery rastu pre existujúcu, odklonenú a vyvolanú premávku v scenári „s realizáciou projektu“ </w:t>
      </w:r>
    </w:p>
    <w:p w14:paraId="03E7D8DA" w14:textId="067CAFA4" w:rsidR="0000244C" w:rsidRPr="0000244C" w:rsidRDefault="0000244C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00244C">
        <w:rPr>
          <w:rFonts w:asciiTheme="majorHAnsi" w:hAnsiTheme="majorHAnsi" w:cstheme="majorHAnsi"/>
          <w:sz w:val="20"/>
          <w:szCs w:val="20"/>
        </w:rPr>
        <w:t xml:space="preserve"> Metóda použitá pre prerozdelenie dopravy, zmena modálneho </w:t>
      </w:r>
      <w:proofErr w:type="spellStart"/>
      <w:r w:rsidRPr="0000244C">
        <w:rPr>
          <w:rFonts w:asciiTheme="majorHAnsi" w:hAnsiTheme="majorHAnsi" w:cstheme="majorHAnsi"/>
          <w:sz w:val="20"/>
          <w:szCs w:val="20"/>
        </w:rPr>
        <w:t>splitu</w:t>
      </w:r>
      <w:proofErr w:type="spellEnd"/>
      <w:r w:rsidRPr="0000244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D2BE375" w14:textId="34B52E59" w:rsidR="0000244C" w:rsidRDefault="0000244C" w:rsidP="0000244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</w:t>
      </w:r>
      <w:r w:rsidRPr="0000244C">
        <w:rPr>
          <w:rFonts w:asciiTheme="majorHAnsi" w:hAnsiTheme="majorHAnsi" w:cstheme="majorHAnsi"/>
          <w:sz w:val="20"/>
          <w:szCs w:val="20"/>
        </w:rPr>
        <w:t xml:space="preserve"> Smerový model potreby integrácie POLD na ďalšie formy MHD v jednotlivých prístaviskách (dopravno-kapacitná analýza dostupnosti MHD v jednotlivých prístaviskách)</w:t>
      </w:r>
    </w:p>
    <w:p w14:paraId="3B772105" w14:textId="77777777" w:rsidR="0000244C" w:rsidRDefault="0000244C" w:rsidP="00D07D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99354A0" w14:textId="3D3BFD70" w:rsidR="00D07D89" w:rsidRDefault="00D07D89" w:rsidP="00D07D8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b/>
          <w:sz w:val="20"/>
          <w:szCs w:val="20"/>
        </w:rPr>
        <w:t>informácie o súčasnej aj budúcej konkurenčnej alebo doplnkovej dopravnej sieti</w:t>
      </w:r>
      <w:r w:rsidRPr="00D50273">
        <w:rPr>
          <w:rFonts w:asciiTheme="majorHAnsi" w:hAnsiTheme="majorHAnsi" w:cstheme="majorHAnsi"/>
          <w:sz w:val="20"/>
          <w:szCs w:val="20"/>
        </w:rPr>
        <w:t xml:space="preserve"> a o zmenách vonkajších podmienok, ktoré môžu významne ovplyvniť výkonnosť projektu „Pravidelná osobná vodná doprava po Dunaji - DUNAJBUS“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C2000">
        <w:rPr>
          <w:rFonts w:asciiTheme="majorHAnsi" w:hAnsiTheme="majorHAnsi" w:cstheme="majorHAnsi"/>
          <w:sz w:val="20"/>
          <w:szCs w:val="20"/>
        </w:rPr>
        <w:t>a zdôvodnenie, aký majú takéto konkurenčné alebo doplnkové siete vplyv na spracovaný odhad využiteľnosti POLD</w:t>
      </w:r>
      <w:r w:rsidR="0037616A">
        <w:rPr>
          <w:rFonts w:asciiTheme="majorHAnsi" w:hAnsiTheme="majorHAnsi" w:cstheme="majorHAnsi"/>
          <w:sz w:val="20"/>
          <w:szCs w:val="20"/>
        </w:rPr>
        <w:t xml:space="preserve"> v rozsahu:</w:t>
      </w:r>
    </w:p>
    <w:p w14:paraId="23F7853D" w14:textId="5ED08A54" w:rsidR="0037616A" w:rsidRPr="0037616A" w:rsidRDefault="0037616A" w:rsidP="0037616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7616A">
        <w:rPr>
          <w:rFonts w:asciiTheme="majorHAnsi" w:hAnsiTheme="majorHAnsi" w:cstheme="majorHAnsi"/>
          <w:sz w:val="20"/>
          <w:szCs w:val="20"/>
        </w:rPr>
        <w:t>Analýza ponuky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7616A">
        <w:rPr>
          <w:rFonts w:asciiTheme="majorHAnsi" w:hAnsiTheme="majorHAnsi" w:cstheme="majorHAnsi"/>
          <w:sz w:val="20"/>
          <w:szCs w:val="20"/>
        </w:rPr>
        <w:t>opis príslušnej siete (súčasnej aj po uskutočnení investície) spolu s informáciami o konkurenčných typoch dopravy</w:t>
      </w:r>
      <w:r w:rsidRPr="0037616A">
        <w:rPr>
          <w:rFonts w:asciiTheme="majorHAnsi" w:hAnsiTheme="majorHAnsi" w:cstheme="majorHAnsi"/>
          <w:sz w:val="20"/>
          <w:szCs w:val="20"/>
        </w:rPr>
        <w:tab/>
      </w:r>
    </w:p>
    <w:p w14:paraId="24497EE6" w14:textId="46681AEC" w:rsidR="0037616A" w:rsidRDefault="0037616A" w:rsidP="003761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E967576" w14:textId="77777777" w:rsidR="00D07D89" w:rsidRPr="00D50273" w:rsidRDefault="00D07D89" w:rsidP="00D07D8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C2000">
        <w:rPr>
          <w:rFonts w:asciiTheme="majorHAnsi" w:hAnsiTheme="majorHAnsi" w:cstheme="majorHAnsi"/>
          <w:b/>
          <w:sz w:val="20"/>
          <w:szCs w:val="20"/>
        </w:rPr>
        <w:t>posúdenie vplyvu stavby rýchlostnej cesty R7</w:t>
      </w:r>
      <w:r w:rsidRPr="00D50273">
        <w:rPr>
          <w:rFonts w:asciiTheme="majorHAnsi" w:hAnsiTheme="majorHAnsi" w:cstheme="majorHAnsi"/>
          <w:sz w:val="20"/>
          <w:szCs w:val="20"/>
        </w:rPr>
        <w:t xml:space="preserve"> na udržateľnosť pravidelnej linky vodnej prepravy </w:t>
      </w:r>
      <w:proofErr w:type="spellStart"/>
      <w:r w:rsidRPr="00D50273">
        <w:rPr>
          <w:rFonts w:asciiTheme="majorHAnsi" w:hAnsiTheme="majorHAnsi" w:cstheme="majorHAnsi"/>
          <w:sz w:val="20"/>
          <w:szCs w:val="20"/>
        </w:rPr>
        <w:t>Dunajbus</w:t>
      </w:r>
      <w:proofErr w:type="spellEnd"/>
    </w:p>
    <w:p w14:paraId="46EFC0E9" w14:textId="613046F3" w:rsidR="00924685" w:rsidRDefault="00924685" w:rsidP="00AE1310">
      <w:pPr>
        <w:spacing w:after="0" w:line="240" w:lineRule="auto"/>
        <w:rPr>
          <w:color w:val="000000" w:themeColor="text1"/>
        </w:rPr>
      </w:pPr>
    </w:p>
    <w:p w14:paraId="753B3342" w14:textId="77777777" w:rsidR="00513F41" w:rsidRPr="00513F41" w:rsidRDefault="00513F41" w:rsidP="00513F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03C1B86" w14:textId="0D3B4B04" w:rsidR="00EE3E11" w:rsidRDefault="00021090" w:rsidP="00EE3E11">
      <w:pPr>
        <w:spacing w:after="0" w:line="240" w:lineRule="auto"/>
        <w:rPr>
          <w:b/>
          <w:color w:val="FF0000"/>
        </w:rPr>
      </w:pPr>
      <w:r>
        <w:rPr>
          <w:b/>
          <w:color w:val="FF0000"/>
          <w:u w:val="single"/>
        </w:rPr>
        <w:t>B</w:t>
      </w:r>
      <w:r w:rsidR="002C6BED">
        <w:rPr>
          <w:b/>
          <w:color w:val="FF0000"/>
          <w:u w:val="single"/>
        </w:rPr>
        <w:t xml:space="preserve">. </w:t>
      </w:r>
      <w:r w:rsidR="00EE3E11">
        <w:rPr>
          <w:b/>
          <w:color w:val="FF0000"/>
          <w:u w:val="single"/>
        </w:rPr>
        <w:t>Informácie o požadovanej t</w:t>
      </w:r>
      <w:r w:rsidR="00EE3E11" w:rsidRPr="00EE3E11">
        <w:rPr>
          <w:b/>
          <w:color w:val="FF0000"/>
          <w:u w:val="single"/>
        </w:rPr>
        <w:t>echnickej a odbornej spôsobilosti uchádzačov a záujemcov</w:t>
      </w:r>
    </w:p>
    <w:p w14:paraId="00350586" w14:textId="0D218E5F" w:rsidR="00EE3E11" w:rsidRDefault="00EE3E11" w:rsidP="00EE3E11">
      <w:pPr>
        <w:spacing w:after="0" w:line="240" w:lineRule="auto"/>
        <w:rPr>
          <w:b/>
          <w:color w:val="FF0000"/>
        </w:rPr>
      </w:pPr>
    </w:p>
    <w:tbl>
      <w:tblPr>
        <w:tblStyle w:val="Mriekatabuky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1984"/>
        <w:gridCol w:w="1275"/>
      </w:tblGrid>
      <w:tr w:rsidR="002C6BED" w:rsidRPr="008316AE" w14:paraId="0CDFFB82" w14:textId="77777777" w:rsidTr="0006390D">
        <w:tc>
          <w:tcPr>
            <w:tcW w:w="567" w:type="dxa"/>
            <w:shd w:val="clear" w:color="auto" w:fill="BFBFBF" w:themeFill="background1" w:themeFillShade="BF"/>
          </w:tcPr>
          <w:p w14:paraId="26DE3556" w14:textId="706E68C7" w:rsidR="002C6BED" w:rsidRPr="002C6BED" w:rsidRDefault="00782DCF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52102222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2C6BED" w:rsidRPr="002C6B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č.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5B0F444" w14:textId="3F8A9F07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Požadovaná spôsobilosť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097AE3E" w14:textId="50393664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Bližšia špecifikácia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6045CB0" w14:textId="34BF77B3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Spôsob dokladovania splnenia požadovanej spôsobilosti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0648F72" w14:textId="03C56561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Vaše údaje</w:t>
            </w:r>
            <w:r w:rsidR="002C6BED" w:rsidRPr="002C6B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(parametre)</w:t>
            </w:r>
          </w:p>
        </w:tc>
      </w:tr>
      <w:tr w:rsidR="002C6BED" w:rsidRPr="008316AE" w14:paraId="6787C534" w14:textId="77777777" w:rsidTr="0006390D">
        <w:tc>
          <w:tcPr>
            <w:tcW w:w="567" w:type="dxa"/>
            <w:shd w:val="clear" w:color="auto" w:fill="FFFFFF" w:themeFill="background1"/>
          </w:tcPr>
          <w:p w14:paraId="6089998C" w14:textId="009B4B35" w:rsidR="002C6BED" w:rsidRPr="002C6BED" w:rsidRDefault="002C6BE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9D48C18" w14:textId="28AC2654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Referencie v predmetnej oblasti</w:t>
            </w:r>
          </w:p>
        </w:tc>
        <w:tc>
          <w:tcPr>
            <w:tcW w:w="2977" w:type="dxa"/>
            <w:shd w:val="clear" w:color="auto" w:fill="FFFFFF" w:themeFill="background1"/>
          </w:tcPr>
          <w:p w14:paraId="0A0F2E58" w14:textId="38F367A5" w:rsidR="002C6BED" w:rsidRP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390D">
              <w:rPr>
                <w:rFonts w:asciiTheme="majorHAnsi" w:hAnsiTheme="majorHAnsi" w:cstheme="majorHAnsi"/>
                <w:sz w:val="20"/>
                <w:szCs w:val="20"/>
              </w:rPr>
              <w:t>Realizácia minimálne 2 zákaziek obdobného charakteru za predchádzajúce tri roky od vyhlásenia verejného obstarávania</w:t>
            </w:r>
          </w:p>
        </w:tc>
        <w:tc>
          <w:tcPr>
            <w:tcW w:w="1984" w:type="dxa"/>
            <w:shd w:val="clear" w:color="auto" w:fill="FFFFFF" w:themeFill="background1"/>
          </w:tcPr>
          <w:p w14:paraId="03718D3C" w14:textId="73A09FC4" w:rsidR="002C6BED" w:rsidRP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390D">
              <w:rPr>
                <w:rFonts w:asciiTheme="majorHAnsi" w:hAnsiTheme="majorHAnsi" w:cstheme="majorHAnsi"/>
                <w:sz w:val="20"/>
                <w:szCs w:val="20"/>
              </w:rPr>
              <w:t xml:space="preserve">zoznam poskytnutých služieb obdobného charakteru za predchádzajúce tri roky od vyhlásenia verejného obstarávania </w:t>
            </w:r>
            <w:r w:rsidR="002E09F1">
              <w:rPr>
                <w:rFonts w:asciiTheme="majorHAnsi" w:hAnsiTheme="majorHAnsi" w:cstheme="majorHAnsi"/>
                <w:sz w:val="20"/>
                <w:szCs w:val="20"/>
              </w:rPr>
              <w:t xml:space="preserve">s uvedením </w:t>
            </w:r>
            <w:r w:rsidR="002E09F1" w:rsidRPr="002E09F1">
              <w:rPr>
                <w:rFonts w:asciiTheme="majorHAnsi" w:hAnsiTheme="majorHAnsi" w:cstheme="majorHAnsi"/>
                <w:sz w:val="20"/>
                <w:szCs w:val="20"/>
              </w:rPr>
              <w:t>cien, lehôt dodania a odberateľov</w:t>
            </w:r>
          </w:p>
        </w:tc>
        <w:tc>
          <w:tcPr>
            <w:tcW w:w="1275" w:type="dxa"/>
            <w:shd w:val="clear" w:color="auto" w:fill="FFFFFF" w:themeFill="background1"/>
          </w:tcPr>
          <w:p w14:paraId="3643F12B" w14:textId="77777777" w:rsidR="002C6BED" w:rsidRPr="002C6BED" w:rsidRDefault="002C6BE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6390D" w:rsidRPr="008316AE" w14:paraId="374078C7" w14:textId="77777777" w:rsidTr="002E09F1">
        <w:trPr>
          <w:trHeight w:val="1646"/>
        </w:trPr>
        <w:tc>
          <w:tcPr>
            <w:tcW w:w="567" w:type="dxa"/>
            <w:shd w:val="clear" w:color="auto" w:fill="FFFFFF" w:themeFill="background1"/>
          </w:tcPr>
          <w:p w14:paraId="366E9709" w14:textId="0BB7D194" w:rsid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268" w:type="dxa"/>
            <w:shd w:val="clear" w:color="auto" w:fill="FFFFFF" w:themeFill="background1"/>
          </w:tcPr>
          <w:p w14:paraId="4BA50844" w14:textId="074EC6C2" w:rsidR="0006390D" w:rsidRDefault="005D37B9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Technická</w:t>
            </w:r>
            <w:r w:rsidR="000639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spôsobilosť na poskytnutie služby</w:t>
            </w:r>
          </w:p>
        </w:tc>
        <w:tc>
          <w:tcPr>
            <w:tcW w:w="2977" w:type="dxa"/>
            <w:shd w:val="clear" w:color="auto" w:fill="FFFFFF" w:themeFill="background1"/>
          </w:tcPr>
          <w:p w14:paraId="153AE3EF" w14:textId="7BC5CC56" w:rsidR="0006390D" w:rsidRPr="00C3103D" w:rsidRDefault="005D37B9" w:rsidP="005B0EA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daj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o technickom vybavení, ktoré má uchádzač alebo záujemca k dispozícií na poskytnutie služby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požiadavka na disponovanie profesionálnym 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dopravno-plánovac</w:t>
            </w:r>
            <w:r w:rsidR="005B0EAF">
              <w:rPr>
                <w:rFonts w:asciiTheme="majorHAnsi" w:hAnsiTheme="majorHAnsi" w:cstheme="majorHAnsi"/>
                <w:sz w:val="20"/>
                <w:szCs w:val="20"/>
              </w:rPr>
              <w:t>ím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systém</w:t>
            </w:r>
            <w:r w:rsidR="005B0EAF">
              <w:rPr>
                <w:rFonts w:asciiTheme="majorHAnsi" w:hAnsiTheme="majorHAnsi" w:cstheme="majorHAnsi"/>
                <w:sz w:val="20"/>
                <w:szCs w:val="20"/>
              </w:rPr>
              <w:t>om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PTV VISION </w:t>
            </w:r>
            <w:r w:rsidR="005B0EAF">
              <w:rPr>
                <w:rFonts w:asciiTheme="majorHAnsi" w:hAnsiTheme="majorHAnsi" w:cstheme="majorHAnsi"/>
                <w:sz w:val="20"/>
                <w:szCs w:val="20"/>
              </w:rPr>
              <w:t xml:space="preserve">(alebo ekvivalentný), ktorý umožňuje 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modelovanie dopravného dopytu pre všetky dopravné prostriedky a účely ciest na základe </w:t>
            </w:r>
            <w:proofErr w:type="spellStart"/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disagregovaného</w:t>
            </w:r>
            <w:proofErr w:type="spellEnd"/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modelu.</w:t>
            </w:r>
          </w:p>
        </w:tc>
        <w:tc>
          <w:tcPr>
            <w:tcW w:w="1984" w:type="dxa"/>
            <w:shd w:val="clear" w:color="auto" w:fill="FFFFFF" w:themeFill="background1"/>
          </w:tcPr>
          <w:p w14:paraId="0F470964" w14:textId="795AC612" w:rsidR="0006390D" w:rsidRPr="0006390D" w:rsidRDefault="005B0EAF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>daj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D37B9">
              <w:rPr>
                <w:rFonts w:asciiTheme="majorHAnsi" w:hAnsiTheme="majorHAnsi" w:cstheme="majorHAnsi"/>
                <w:sz w:val="20"/>
                <w:szCs w:val="20"/>
              </w:rPr>
              <w:t xml:space="preserve"> o technickom vybavení, ktoré má uchádzač alebo záujemca k dispozícií na poskytnutie služby</w:t>
            </w:r>
          </w:p>
        </w:tc>
        <w:tc>
          <w:tcPr>
            <w:tcW w:w="1275" w:type="dxa"/>
            <w:shd w:val="clear" w:color="auto" w:fill="FFFFFF" w:themeFill="background1"/>
          </w:tcPr>
          <w:p w14:paraId="333FF255" w14:textId="77777777" w:rsidR="0006390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14:paraId="7AFD4EC1" w14:textId="3D9B7399" w:rsidR="00EE3E11" w:rsidRDefault="00EE3E11" w:rsidP="00AE1310">
      <w:pPr>
        <w:spacing w:after="0" w:line="240" w:lineRule="auto"/>
        <w:rPr>
          <w:color w:val="000000" w:themeColor="text1"/>
        </w:rPr>
      </w:pPr>
    </w:p>
    <w:p w14:paraId="04DBE719" w14:textId="77777777" w:rsidR="00B8180C" w:rsidRDefault="00B8180C" w:rsidP="00AF6F40">
      <w:pPr>
        <w:spacing w:after="0" w:line="240" w:lineRule="auto"/>
        <w:jc w:val="both"/>
        <w:rPr>
          <w:b/>
          <w:color w:val="FF0000"/>
          <w:u w:val="single"/>
        </w:rPr>
      </w:pPr>
    </w:p>
    <w:p w14:paraId="377DACB1" w14:textId="0654057C" w:rsidR="00AF6F40" w:rsidRPr="00AF6F40" w:rsidRDefault="00021090" w:rsidP="00AF6F40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</w:t>
      </w:r>
      <w:r w:rsidR="00AF6F40" w:rsidRPr="00AF6F40">
        <w:rPr>
          <w:b/>
          <w:color w:val="FF0000"/>
          <w:u w:val="single"/>
        </w:rPr>
        <w:t>. Protiplnenie verejného obstarávateľa:</w:t>
      </w:r>
    </w:p>
    <w:p w14:paraId="6B56C908" w14:textId="77777777" w:rsidR="00AF6F40" w:rsidRDefault="00AF6F40" w:rsidP="00AF6F40">
      <w:pPr>
        <w:spacing w:after="0" w:line="240" w:lineRule="auto"/>
        <w:jc w:val="both"/>
      </w:pPr>
    </w:p>
    <w:p w14:paraId="7B6B23BA" w14:textId="38E7BB54" w:rsidR="00AF6F40" w:rsidRPr="004779D1" w:rsidRDefault="00AF6F40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79D1">
        <w:rPr>
          <w:rFonts w:asciiTheme="majorHAnsi" w:hAnsiTheme="majorHAnsi" w:cstheme="majorHAnsi"/>
          <w:sz w:val="20"/>
          <w:szCs w:val="20"/>
        </w:rPr>
        <w:t>Víťaznému uchádzačovi budú poskytnuté nasledujúce podkladové materiály k dodaniu predmetu zákazky:</w:t>
      </w:r>
    </w:p>
    <w:p w14:paraId="2D0A54B7" w14:textId="1478A319" w:rsidR="004779D1" w:rsidRDefault="004779D1" w:rsidP="004779D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4779D1">
        <w:rPr>
          <w:rFonts w:asciiTheme="majorHAnsi" w:hAnsiTheme="majorHAnsi" w:cstheme="majorHAnsi"/>
          <w:sz w:val="20"/>
          <w:szCs w:val="20"/>
        </w:rPr>
        <w:t xml:space="preserve">Štúdia realizovateľnosti: Pravidelná osobná lodná doprava po Dunaji – DUNAJBUS, ktorej súčasťou </w:t>
      </w:r>
      <w:r w:rsidR="005D37B9">
        <w:rPr>
          <w:rFonts w:asciiTheme="majorHAnsi" w:hAnsiTheme="majorHAnsi" w:cstheme="majorHAnsi"/>
          <w:sz w:val="20"/>
          <w:szCs w:val="20"/>
        </w:rPr>
        <w:t>sú nasledujúce kapitoly:</w:t>
      </w:r>
    </w:p>
    <w:p w14:paraId="527F1DE8" w14:textId="40F8EBDE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 Analýza podmienok, súčasnej situácie, cieľov a zámerov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71AB3DAC" w14:textId="287D777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A.1</w:t>
      </w:r>
      <w:r w:rsidRPr="005D37B9">
        <w:rPr>
          <w:rFonts w:asciiTheme="majorHAnsi" w:hAnsiTheme="majorHAnsi" w:cstheme="majorHAnsi"/>
          <w:sz w:val="20"/>
          <w:szCs w:val="20"/>
        </w:rPr>
        <w:tab/>
        <w:t>Stručný opis súčasnej situácie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169DB01" w14:textId="705E006D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A.2</w:t>
      </w:r>
      <w:r w:rsidRPr="005D37B9">
        <w:rPr>
          <w:rFonts w:asciiTheme="majorHAnsi" w:hAnsiTheme="majorHAnsi" w:cstheme="majorHAnsi"/>
          <w:sz w:val="20"/>
          <w:szCs w:val="20"/>
        </w:rPr>
        <w:tab/>
        <w:t>Cieľová oblasť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503A860" w14:textId="614345C3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A.2.1</w:t>
      </w:r>
      <w:r w:rsidRPr="005D37B9">
        <w:rPr>
          <w:rFonts w:asciiTheme="majorHAnsi" w:hAnsiTheme="majorHAnsi" w:cstheme="majorHAnsi"/>
          <w:sz w:val="20"/>
          <w:szCs w:val="20"/>
        </w:rPr>
        <w:tab/>
        <w:t>Regionálny/národný/nadnárodný význam a záber s ohľadom na environmentálne aspekty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85F641C" w14:textId="6CD846E5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A.3</w:t>
      </w:r>
      <w:r w:rsidRPr="005D37B9">
        <w:rPr>
          <w:rFonts w:asciiTheme="majorHAnsi" w:hAnsiTheme="majorHAnsi" w:cstheme="majorHAnsi"/>
          <w:sz w:val="20"/>
          <w:szCs w:val="20"/>
        </w:rPr>
        <w:tab/>
        <w:t>Cieľová skupina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E905BF7" w14:textId="40249F1A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A.3.1</w:t>
      </w:r>
      <w:r w:rsidRPr="005D37B9">
        <w:rPr>
          <w:rFonts w:asciiTheme="majorHAnsi" w:hAnsiTheme="majorHAnsi" w:cstheme="majorHAnsi"/>
          <w:sz w:val="20"/>
          <w:szCs w:val="20"/>
        </w:rPr>
        <w:tab/>
        <w:t>Miestni obyvatelia obcí podunajského regiónu a spádové oblasti týchto obcí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324EBBE" w14:textId="57F86F1A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A.3.2</w:t>
      </w:r>
      <w:r w:rsidRPr="005D37B9">
        <w:rPr>
          <w:rFonts w:asciiTheme="majorHAnsi" w:hAnsiTheme="majorHAnsi" w:cstheme="majorHAnsi"/>
          <w:sz w:val="20"/>
          <w:szCs w:val="20"/>
        </w:rPr>
        <w:tab/>
        <w:t>Turisti a záujemcovia o výletné a poznávacie plavby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1A74D023" w14:textId="70CB1D4C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A.4</w:t>
      </w:r>
      <w:r w:rsidRPr="005D37B9">
        <w:rPr>
          <w:rFonts w:asciiTheme="majorHAnsi" w:hAnsiTheme="majorHAnsi" w:cstheme="majorHAnsi"/>
          <w:sz w:val="20"/>
          <w:szCs w:val="20"/>
        </w:rPr>
        <w:tab/>
        <w:t>Analýza sociálnych podmienok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0E6188B6" w14:textId="3B2FD92E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A.4.1</w:t>
      </w:r>
      <w:r w:rsidRPr="005D37B9">
        <w:rPr>
          <w:rFonts w:asciiTheme="majorHAnsi" w:hAnsiTheme="majorHAnsi" w:cstheme="majorHAnsi"/>
          <w:sz w:val="20"/>
          <w:szCs w:val="20"/>
        </w:rPr>
        <w:tab/>
        <w:t>Demografická analýza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4EC67838" w14:textId="35AB9B32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A.4.2</w:t>
      </w:r>
      <w:r w:rsidRPr="005D37B9">
        <w:rPr>
          <w:rFonts w:asciiTheme="majorHAnsi" w:hAnsiTheme="majorHAnsi" w:cstheme="majorHAnsi"/>
          <w:sz w:val="20"/>
          <w:szCs w:val="20"/>
        </w:rPr>
        <w:tab/>
        <w:t>Prognóza vývoja demografickej štruktúry obyvateľstva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2EFEEED6" w14:textId="136D8CB5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A.4.3</w:t>
      </w:r>
      <w:r w:rsidRPr="005D37B9">
        <w:rPr>
          <w:rFonts w:asciiTheme="majorHAnsi" w:hAnsiTheme="majorHAnsi" w:cstheme="majorHAnsi"/>
          <w:sz w:val="20"/>
          <w:szCs w:val="20"/>
        </w:rPr>
        <w:tab/>
        <w:t>Analýza dochádzok obyvateľov z vybraných miest a obcí do Bratislavy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051D5034" w14:textId="6CBBB06D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A.5</w:t>
      </w:r>
      <w:r w:rsidRPr="005D37B9">
        <w:rPr>
          <w:rFonts w:asciiTheme="majorHAnsi" w:hAnsiTheme="majorHAnsi" w:cstheme="majorHAnsi"/>
          <w:sz w:val="20"/>
          <w:szCs w:val="20"/>
        </w:rPr>
        <w:tab/>
        <w:t>Podrobný opis súčasného variantu dopravy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09A80CE" w14:textId="776C3A08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A.6</w:t>
      </w:r>
      <w:r w:rsidRPr="005D37B9">
        <w:rPr>
          <w:rFonts w:asciiTheme="majorHAnsi" w:hAnsiTheme="majorHAnsi" w:cstheme="majorHAnsi"/>
          <w:sz w:val="20"/>
          <w:szCs w:val="20"/>
        </w:rPr>
        <w:tab/>
        <w:t>Definovanie problémov/bariér/ohrození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24C353A" w14:textId="0DFB4F9A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A.7</w:t>
      </w:r>
      <w:r w:rsidRPr="005D37B9">
        <w:rPr>
          <w:rFonts w:asciiTheme="majorHAnsi" w:hAnsiTheme="majorHAnsi" w:cstheme="majorHAnsi"/>
          <w:sz w:val="20"/>
          <w:szCs w:val="20"/>
        </w:rPr>
        <w:tab/>
        <w:t>Sociálne a makroekonomické ciele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0A2DC78" w14:textId="7D2982C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A.8</w:t>
      </w:r>
      <w:r w:rsidRPr="005D37B9">
        <w:rPr>
          <w:rFonts w:asciiTheme="majorHAnsi" w:hAnsiTheme="majorHAnsi" w:cstheme="majorHAnsi"/>
          <w:sz w:val="20"/>
          <w:szCs w:val="20"/>
        </w:rPr>
        <w:tab/>
        <w:t>Očakávané výsledky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12F0BEBD" w14:textId="3C8C446C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A.8.1</w:t>
      </w:r>
      <w:r w:rsidRPr="005D37B9">
        <w:rPr>
          <w:rFonts w:asciiTheme="majorHAnsi" w:hAnsiTheme="majorHAnsi" w:cstheme="majorHAnsi"/>
          <w:sz w:val="20"/>
          <w:szCs w:val="20"/>
        </w:rPr>
        <w:tab/>
        <w:t>Benefity osobnej vodnej prepravy celosvetovo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38D215A7" w14:textId="6C29BB93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A.8.2</w:t>
      </w:r>
      <w:r w:rsidRPr="005D37B9">
        <w:rPr>
          <w:rFonts w:asciiTheme="majorHAnsi" w:hAnsiTheme="majorHAnsi" w:cstheme="majorHAnsi"/>
          <w:sz w:val="20"/>
          <w:szCs w:val="20"/>
        </w:rPr>
        <w:tab/>
        <w:t>Očakávané výsledky zavedenia osobnej vodnej prepravy po Dunaji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E957BF6" w14:textId="180DD62A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A.9</w:t>
      </w:r>
      <w:r w:rsidRPr="005D37B9">
        <w:rPr>
          <w:rFonts w:asciiTheme="majorHAnsi" w:hAnsiTheme="majorHAnsi" w:cstheme="majorHAnsi"/>
          <w:sz w:val="20"/>
          <w:szCs w:val="20"/>
        </w:rPr>
        <w:tab/>
        <w:t>Posúdenie cieľov s ohľadom na politiku EÚ a priority OP II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77C17377" w14:textId="65DDC220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A.9.1</w:t>
      </w:r>
      <w:r w:rsidRPr="005D37B9">
        <w:rPr>
          <w:rFonts w:asciiTheme="majorHAnsi" w:hAnsiTheme="majorHAnsi" w:cstheme="majorHAnsi"/>
          <w:sz w:val="20"/>
          <w:szCs w:val="20"/>
        </w:rPr>
        <w:tab/>
        <w:t>Východiskové dokumenty na regionálnej úrovni, ktoré priamo súvisia s realizáciou projektu: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3779A09" w14:textId="076D40A9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A.9.2</w:t>
      </w:r>
      <w:r w:rsidRPr="005D37B9">
        <w:rPr>
          <w:rFonts w:asciiTheme="majorHAnsi" w:hAnsiTheme="majorHAnsi" w:cstheme="majorHAnsi"/>
          <w:sz w:val="20"/>
          <w:szCs w:val="20"/>
        </w:rPr>
        <w:tab/>
        <w:t>Východiskové dokumenty na národnej úrovni, ktoré priamo súvisia s realizáciou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2E5D2436" w14:textId="0556509D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A.9.3</w:t>
      </w:r>
      <w:r w:rsidRPr="005D37B9">
        <w:rPr>
          <w:rFonts w:asciiTheme="majorHAnsi" w:hAnsiTheme="majorHAnsi" w:cstheme="majorHAnsi"/>
          <w:sz w:val="20"/>
          <w:szCs w:val="20"/>
        </w:rPr>
        <w:tab/>
        <w:t>Východiskové dokumenty na európskej úrovni, ktoré priamo súvisia s realizáciou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4642F665" w14:textId="5B5F59D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A.9.4</w:t>
      </w:r>
      <w:r w:rsidRPr="005D37B9">
        <w:rPr>
          <w:rFonts w:asciiTheme="majorHAnsi" w:hAnsiTheme="majorHAnsi" w:cstheme="majorHAnsi"/>
          <w:sz w:val="20"/>
          <w:szCs w:val="20"/>
        </w:rPr>
        <w:tab/>
        <w:t>Súlad projektu s prioritami EŠIF, EK a OP II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11F3652C" w14:textId="74079AB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A.10</w:t>
      </w:r>
      <w:r w:rsidRPr="005D37B9">
        <w:rPr>
          <w:rFonts w:asciiTheme="majorHAnsi" w:hAnsiTheme="majorHAnsi" w:cstheme="majorHAnsi"/>
          <w:sz w:val="20"/>
          <w:szCs w:val="20"/>
        </w:rPr>
        <w:tab/>
        <w:t>Prijímateľ projektu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417D12B7" w14:textId="62C89050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A.10.1</w:t>
      </w:r>
      <w:r w:rsidRPr="005D37B9">
        <w:rPr>
          <w:rFonts w:asciiTheme="majorHAnsi" w:hAnsiTheme="majorHAnsi" w:cstheme="majorHAnsi"/>
          <w:sz w:val="20"/>
          <w:szCs w:val="20"/>
        </w:rPr>
        <w:tab/>
        <w:t>Inštitucionálne kapacity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7643C620" w14:textId="435541E0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A.10.2</w:t>
      </w:r>
      <w:r w:rsidRPr="005D37B9">
        <w:rPr>
          <w:rFonts w:asciiTheme="majorHAnsi" w:hAnsiTheme="majorHAnsi" w:cstheme="majorHAnsi"/>
          <w:sz w:val="20"/>
          <w:szCs w:val="20"/>
        </w:rPr>
        <w:tab/>
        <w:t>Technické a finančné kapacity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2114BD0D" w14:textId="38CD0F09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A.11</w:t>
      </w:r>
      <w:r w:rsidRPr="005D37B9">
        <w:rPr>
          <w:rFonts w:asciiTheme="majorHAnsi" w:hAnsiTheme="majorHAnsi" w:cstheme="majorHAnsi"/>
          <w:sz w:val="20"/>
          <w:szCs w:val="20"/>
        </w:rPr>
        <w:tab/>
        <w:t>Vplyv projektu na ďalšie subjekty a osoby okrem cieľovej skupiny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33A56647" w14:textId="2778D3AD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 Technická štúdia uskutočniteľnosti a analýza alternatív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B51815D" w14:textId="5310069E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B.1</w:t>
      </w:r>
      <w:r w:rsidRPr="005D37B9">
        <w:rPr>
          <w:rFonts w:asciiTheme="majorHAnsi" w:hAnsiTheme="majorHAnsi" w:cstheme="majorHAnsi"/>
          <w:sz w:val="20"/>
          <w:szCs w:val="20"/>
        </w:rPr>
        <w:tab/>
        <w:t>Zhrnutie základných informácií o projekte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30DCC93E" w14:textId="615D4AEB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B.1.1</w:t>
      </w:r>
      <w:r w:rsidRPr="005D37B9">
        <w:rPr>
          <w:rFonts w:asciiTheme="majorHAnsi" w:hAnsiTheme="majorHAnsi" w:cstheme="majorHAnsi"/>
          <w:sz w:val="20"/>
          <w:szCs w:val="20"/>
        </w:rPr>
        <w:tab/>
        <w:t>Úvod do problematiky osobnej vodnej prepravy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5BCF291" w14:textId="4828BDEB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</w:t>
      </w:r>
      <w:r w:rsidRPr="005D37B9">
        <w:rPr>
          <w:rFonts w:asciiTheme="majorHAnsi" w:hAnsiTheme="majorHAnsi" w:cstheme="majorHAnsi"/>
          <w:sz w:val="20"/>
          <w:szCs w:val="20"/>
        </w:rPr>
        <w:tab/>
        <w:t>Analýza alternatív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1CB29A3E" w14:textId="5E0AC705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B.4.1</w:t>
      </w:r>
      <w:r w:rsidRPr="005D37B9">
        <w:rPr>
          <w:rFonts w:asciiTheme="majorHAnsi" w:hAnsiTheme="majorHAnsi" w:cstheme="majorHAnsi"/>
          <w:sz w:val="20"/>
          <w:szCs w:val="20"/>
        </w:rPr>
        <w:tab/>
        <w:t>Stručný technický opis projektu a jeho geografického vymedzenia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0AD3EFC7" w14:textId="5E82052C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B.4.2</w:t>
      </w:r>
      <w:r w:rsidRPr="005D37B9">
        <w:rPr>
          <w:rFonts w:asciiTheme="majorHAnsi" w:hAnsiTheme="majorHAnsi" w:cstheme="majorHAnsi"/>
          <w:sz w:val="20"/>
          <w:szCs w:val="20"/>
        </w:rPr>
        <w:tab/>
        <w:t>Výberové konanie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7FA2620E" w14:textId="3D0D5A93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B.4.3</w:t>
      </w:r>
      <w:r w:rsidRPr="005D37B9">
        <w:rPr>
          <w:rFonts w:asciiTheme="majorHAnsi" w:hAnsiTheme="majorHAnsi" w:cstheme="majorHAnsi"/>
          <w:sz w:val="20"/>
          <w:szCs w:val="20"/>
        </w:rPr>
        <w:tab/>
        <w:t>Výberové kritériá</w:t>
      </w:r>
      <w:r w:rsidRPr="005D37B9">
        <w:rPr>
          <w:rFonts w:asciiTheme="majorHAnsi" w:hAnsiTheme="majorHAnsi" w:cstheme="majorHAnsi"/>
          <w:sz w:val="20"/>
          <w:szCs w:val="20"/>
        </w:rPr>
        <w:tab/>
        <w:t>7</w:t>
      </w:r>
    </w:p>
    <w:p w14:paraId="1398BF34" w14:textId="1731EAE3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B.4.4</w:t>
      </w:r>
      <w:r w:rsidRPr="005D37B9">
        <w:rPr>
          <w:rFonts w:asciiTheme="majorHAnsi" w:hAnsiTheme="majorHAnsi" w:cstheme="majorHAnsi"/>
          <w:sz w:val="20"/>
          <w:szCs w:val="20"/>
        </w:rPr>
        <w:tab/>
        <w:t>Návrh a popis variantov - Scenár „ak by sa nič neurobilo“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5EBFB24" w14:textId="4458A154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B.4.5</w:t>
      </w:r>
      <w:r w:rsidRPr="005D37B9">
        <w:rPr>
          <w:rFonts w:asciiTheme="majorHAnsi" w:hAnsiTheme="majorHAnsi" w:cstheme="majorHAnsi"/>
          <w:sz w:val="20"/>
          <w:szCs w:val="20"/>
        </w:rPr>
        <w:tab/>
        <w:t>Návrh a popis variantov - Scenár „ak by sa niečo urobilo“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290E7855" w14:textId="710CB1F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B.4.6</w:t>
      </w:r>
      <w:r w:rsidRPr="005D37B9">
        <w:rPr>
          <w:rFonts w:asciiTheme="majorHAnsi" w:hAnsiTheme="majorHAnsi" w:cstheme="majorHAnsi"/>
          <w:sz w:val="20"/>
          <w:szCs w:val="20"/>
        </w:rPr>
        <w:tab/>
        <w:t xml:space="preserve">Scenár „ak by sa niečo urobilo“ - </w:t>
      </w:r>
      <w:proofErr w:type="spellStart"/>
      <w:r w:rsidRPr="005D37B9">
        <w:rPr>
          <w:rFonts w:asciiTheme="majorHAnsi" w:hAnsiTheme="majorHAnsi" w:cstheme="majorHAnsi"/>
          <w:sz w:val="20"/>
          <w:szCs w:val="20"/>
        </w:rPr>
        <w:t>Multikriteriálna</w:t>
      </w:r>
      <w:proofErr w:type="spellEnd"/>
      <w:r w:rsidRPr="005D37B9">
        <w:rPr>
          <w:rFonts w:asciiTheme="majorHAnsi" w:hAnsiTheme="majorHAnsi" w:cstheme="majorHAnsi"/>
          <w:sz w:val="20"/>
          <w:szCs w:val="20"/>
        </w:rPr>
        <w:t xml:space="preserve"> analýza alternatív z pohľadu počtu prístavísk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2B2B3011" w14:textId="0F1571E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B.4.7</w:t>
      </w:r>
      <w:r w:rsidRPr="005D37B9">
        <w:rPr>
          <w:rFonts w:asciiTheme="majorHAnsi" w:hAnsiTheme="majorHAnsi" w:cstheme="majorHAnsi"/>
          <w:sz w:val="20"/>
          <w:szCs w:val="20"/>
        </w:rPr>
        <w:tab/>
        <w:t xml:space="preserve">Scenár „ak by sa niečo urobilo“ - </w:t>
      </w:r>
      <w:proofErr w:type="spellStart"/>
      <w:r w:rsidRPr="005D37B9">
        <w:rPr>
          <w:rFonts w:asciiTheme="majorHAnsi" w:hAnsiTheme="majorHAnsi" w:cstheme="majorHAnsi"/>
          <w:sz w:val="20"/>
          <w:szCs w:val="20"/>
        </w:rPr>
        <w:t>Multikriteriálna</w:t>
      </w:r>
      <w:proofErr w:type="spellEnd"/>
      <w:r w:rsidRPr="005D37B9">
        <w:rPr>
          <w:rFonts w:asciiTheme="majorHAnsi" w:hAnsiTheme="majorHAnsi" w:cstheme="majorHAnsi"/>
          <w:sz w:val="20"/>
          <w:szCs w:val="20"/>
        </w:rPr>
        <w:t xml:space="preserve"> analýza alternatív z pohľadu použitej technológie lodí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32DFD830" w14:textId="44C09FB0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B.4.8</w:t>
      </w:r>
      <w:r w:rsidRPr="005D37B9">
        <w:rPr>
          <w:rFonts w:asciiTheme="majorHAnsi" w:hAnsiTheme="majorHAnsi" w:cstheme="majorHAnsi"/>
          <w:sz w:val="20"/>
          <w:szCs w:val="20"/>
        </w:rPr>
        <w:tab/>
        <w:t xml:space="preserve">Scenár „ak by sa niečo urobilo“  - </w:t>
      </w:r>
      <w:proofErr w:type="spellStart"/>
      <w:r w:rsidRPr="005D37B9">
        <w:rPr>
          <w:rFonts w:asciiTheme="majorHAnsi" w:hAnsiTheme="majorHAnsi" w:cstheme="majorHAnsi"/>
          <w:sz w:val="20"/>
          <w:szCs w:val="20"/>
        </w:rPr>
        <w:t>Multikriteriálna</w:t>
      </w:r>
      <w:proofErr w:type="spellEnd"/>
      <w:r w:rsidRPr="005D37B9">
        <w:rPr>
          <w:rFonts w:asciiTheme="majorHAnsi" w:hAnsiTheme="majorHAnsi" w:cstheme="majorHAnsi"/>
          <w:sz w:val="20"/>
          <w:szCs w:val="20"/>
        </w:rPr>
        <w:t xml:space="preserve"> analýza alternatív z pohľadu použitej technológie prístavísk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0758560" w14:textId="2CBAEFD1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B.4.9</w:t>
      </w:r>
      <w:r w:rsidRPr="005D37B9">
        <w:rPr>
          <w:rFonts w:asciiTheme="majorHAnsi" w:hAnsiTheme="majorHAnsi" w:cstheme="majorHAnsi"/>
          <w:sz w:val="20"/>
          <w:szCs w:val="20"/>
        </w:rPr>
        <w:tab/>
        <w:t>Scenár „ak by sa niečo urobilo“ – Analýza ďalších významných aspektov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478A88D8" w14:textId="3D8A83E3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B.4.10</w:t>
      </w:r>
      <w:r w:rsidRPr="005D37B9">
        <w:rPr>
          <w:rFonts w:asciiTheme="majorHAnsi" w:hAnsiTheme="majorHAnsi" w:cstheme="majorHAnsi"/>
          <w:sz w:val="20"/>
          <w:szCs w:val="20"/>
        </w:rPr>
        <w:tab/>
        <w:t>Návrh a popis variantov - Scenár „ak by sa urobilo minimum“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28B09F8F" w14:textId="05F27AB4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B.4.11</w:t>
      </w:r>
      <w:r w:rsidRPr="005D37B9">
        <w:rPr>
          <w:rFonts w:asciiTheme="majorHAnsi" w:hAnsiTheme="majorHAnsi" w:cstheme="majorHAnsi"/>
          <w:sz w:val="20"/>
          <w:szCs w:val="20"/>
        </w:rPr>
        <w:tab/>
        <w:t>Hlavné závery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1AE609AB" w14:textId="4259F9B2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B.4.12</w:t>
      </w:r>
      <w:r w:rsidRPr="005D37B9">
        <w:rPr>
          <w:rFonts w:asciiTheme="majorHAnsi" w:hAnsiTheme="majorHAnsi" w:cstheme="majorHAnsi"/>
          <w:sz w:val="20"/>
          <w:szCs w:val="20"/>
        </w:rPr>
        <w:tab/>
        <w:t>Personálne požiadavky;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060D9B00" w14:textId="10CD053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B.4.13</w:t>
      </w:r>
      <w:r w:rsidRPr="005D37B9">
        <w:rPr>
          <w:rFonts w:asciiTheme="majorHAnsi" w:hAnsiTheme="majorHAnsi" w:cstheme="majorHAnsi"/>
          <w:sz w:val="20"/>
          <w:szCs w:val="20"/>
        </w:rPr>
        <w:tab/>
        <w:t>Regulačný rámec;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2FFF31D" w14:textId="244F04BA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 Technický opis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401E8E81" w14:textId="067507F3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C.1</w:t>
      </w:r>
      <w:r w:rsidRPr="005D37B9">
        <w:rPr>
          <w:rFonts w:asciiTheme="majorHAnsi" w:hAnsiTheme="majorHAnsi" w:cstheme="majorHAnsi"/>
          <w:sz w:val="20"/>
          <w:szCs w:val="20"/>
        </w:rPr>
        <w:tab/>
        <w:t>situačná mapa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F4DC513" w14:textId="52BEA77A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C.2</w:t>
      </w:r>
      <w:r w:rsidRPr="005D37B9">
        <w:rPr>
          <w:rFonts w:asciiTheme="majorHAnsi" w:hAnsiTheme="majorHAnsi" w:cstheme="majorHAnsi"/>
          <w:sz w:val="20"/>
          <w:szCs w:val="20"/>
        </w:rPr>
        <w:tab/>
        <w:t>technický opis v rozsahu technických a zároveň funkčných (výkonnostných parametrov)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158E5E6B" w14:textId="612F7A45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C.2.1</w:t>
      </w:r>
      <w:r w:rsidRPr="005D37B9">
        <w:rPr>
          <w:rFonts w:asciiTheme="majorHAnsi" w:hAnsiTheme="majorHAnsi" w:cstheme="majorHAnsi"/>
          <w:sz w:val="20"/>
          <w:szCs w:val="20"/>
        </w:rPr>
        <w:tab/>
        <w:t>obstarávané plavidlá (lode)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11C8F3BC" w14:textId="03D36DFF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C.2.2</w:t>
      </w:r>
      <w:r w:rsidRPr="005D37B9">
        <w:rPr>
          <w:rFonts w:asciiTheme="majorHAnsi" w:hAnsiTheme="majorHAnsi" w:cstheme="majorHAnsi"/>
          <w:sz w:val="20"/>
          <w:szCs w:val="20"/>
        </w:rPr>
        <w:tab/>
        <w:t>budované prístaviská (pontóny)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653B2400" w14:textId="52BEFBEC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C.2.3</w:t>
      </w:r>
      <w:r w:rsidRPr="005D37B9">
        <w:rPr>
          <w:rFonts w:asciiTheme="majorHAnsi" w:hAnsiTheme="majorHAnsi" w:cstheme="majorHAnsi"/>
          <w:sz w:val="20"/>
          <w:szCs w:val="20"/>
        </w:rPr>
        <w:tab/>
        <w:t>budovaný zimný prístav (depo)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28E0F063" w14:textId="6A6F8144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C.2.4</w:t>
      </w:r>
      <w:r w:rsidRPr="005D37B9">
        <w:rPr>
          <w:rFonts w:asciiTheme="majorHAnsi" w:hAnsiTheme="majorHAnsi" w:cstheme="majorHAnsi"/>
          <w:sz w:val="20"/>
          <w:szCs w:val="20"/>
        </w:rPr>
        <w:tab/>
        <w:t>budované vlnolamy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p w14:paraId="5872DE61" w14:textId="772BE7FB" w:rsidR="005D37B9" w:rsidRPr="005D37B9" w:rsidRDefault="005D37B9" w:rsidP="005D37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37B9">
        <w:rPr>
          <w:rFonts w:asciiTheme="majorHAnsi" w:hAnsiTheme="majorHAnsi" w:cstheme="majorHAnsi"/>
          <w:sz w:val="20"/>
          <w:szCs w:val="20"/>
        </w:rPr>
        <w:t>C.2.5</w:t>
      </w:r>
      <w:r w:rsidRPr="005D37B9">
        <w:rPr>
          <w:rFonts w:asciiTheme="majorHAnsi" w:hAnsiTheme="majorHAnsi" w:cstheme="majorHAnsi"/>
          <w:sz w:val="20"/>
          <w:szCs w:val="20"/>
        </w:rPr>
        <w:tab/>
        <w:t>budované parkoviská (</w:t>
      </w:r>
      <w:proofErr w:type="spellStart"/>
      <w:r w:rsidRPr="005D37B9">
        <w:rPr>
          <w:rFonts w:asciiTheme="majorHAnsi" w:hAnsiTheme="majorHAnsi" w:cstheme="majorHAnsi"/>
          <w:sz w:val="20"/>
          <w:szCs w:val="20"/>
        </w:rPr>
        <w:t>park&amp;ride</w:t>
      </w:r>
      <w:proofErr w:type="spellEnd"/>
      <w:r w:rsidRPr="005D37B9">
        <w:rPr>
          <w:rFonts w:asciiTheme="majorHAnsi" w:hAnsiTheme="majorHAnsi" w:cstheme="majorHAnsi"/>
          <w:sz w:val="20"/>
          <w:szCs w:val="20"/>
        </w:rPr>
        <w:t>)</w:t>
      </w:r>
      <w:r w:rsidRPr="005D37B9">
        <w:rPr>
          <w:rFonts w:asciiTheme="majorHAnsi" w:hAnsiTheme="majorHAnsi" w:cstheme="majorHAnsi"/>
          <w:sz w:val="20"/>
          <w:szCs w:val="20"/>
        </w:rPr>
        <w:tab/>
      </w:r>
    </w:p>
    <w:sectPr w:rsidR="005D37B9" w:rsidRPr="005D3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753A" w14:textId="77777777" w:rsidR="009D4E33" w:rsidRDefault="009D4E33" w:rsidP="002F73BF">
      <w:pPr>
        <w:spacing w:after="0" w:line="240" w:lineRule="auto"/>
      </w:pPr>
      <w:r>
        <w:separator/>
      </w:r>
    </w:p>
  </w:endnote>
  <w:endnote w:type="continuationSeparator" w:id="0">
    <w:p w14:paraId="61A75F11" w14:textId="77777777" w:rsidR="009D4E33" w:rsidRDefault="009D4E33" w:rsidP="002F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1994" w14:textId="77777777" w:rsidR="009D4E33" w:rsidRDefault="009D4E33" w:rsidP="002F73BF">
      <w:pPr>
        <w:spacing w:after="0" w:line="240" w:lineRule="auto"/>
      </w:pPr>
      <w:r>
        <w:separator/>
      </w:r>
    </w:p>
  </w:footnote>
  <w:footnote w:type="continuationSeparator" w:id="0">
    <w:p w14:paraId="37A66ABC" w14:textId="77777777" w:rsidR="009D4E33" w:rsidRDefault="009D4E33" w:rsidP="002F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8C2F" w14:textId="5BA8C27F" w:rsidR="00FC5BD5" w:rsidRDefault="00FC5BD5">
    <w:pPr>
      <w:pStyle w:val="Hlavika"/>
    </w:pPr>
    <w:r>
      <w:t xml:space="preserve">Príloha č. 1 </w:t>
    </w:r>
  </w:p>
  <w:p w14:paraId="52CE78C2" w14:textId="77777777" w:rsidR="00FC5BD5" w:rsidRDefault="00FC5B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EDF"/>
    <w:multiLevelType w:val="hybridMultilevel"/>
    <w:tmpl w:val="A9E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80C"/>
    <w:multiLevelType w:val="hybridMultilevel"/>
    <w:tmpl w:val="805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D4D"/>
    <w:multiLevelType w:val="hybridMultilevel"/>
    <w:tmpl w:val="460C9658"/>
    <w:lvl w:ilvl="0" w:tplc="57C206F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189"/>
    <w:multiLevelType w:val="hybridMultilevel"/>
    <w:tmpl w:val="68C6D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D3C"/>
    <w:multiLevelType w:val="hybridMultilevel"/>
    <w:tmpl w:val="8866319A"/>
    <w:lvl w:ilvl="0" w:tplc="6B00362C">
      <w:start w:val="1"/>
      <w:numFmt w:val="bullet"/>
      <w:lvlText w:val=""/>
      <w:lvlJc w:val="right"/>
      <w:pPr>
        <w:ind w:left="14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2153184C"/>
    <w:multiLevelType w:val="hybridMultilevel"/>
    <w:tmpl w:val="A1FA8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73D4"/>
    <w:multiLevelType w:val="hybridMultilevel"/>
    <w:tmpl w:val="DC5C6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5D9A"/>
    <w:multiLevelType w:val="hybridMultilevel"/>
    <w:tmpl w:val="617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682"/>
    <w:multiLevelType w:val="hybridMultilevel"/>
    <w:tmpl w:val="D61A44A6"/>
    <w:lvl w:ilvl="0" w:tplc="0B02C1E0">
      <w:start w:val="1"/>
      <w:numFmt w:val="bullet"/>
      <w:pStyle w:val="Bullet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460D9D"/>
    <w:multiLevelType w:val="hybridMultilevel"/>
    <w:tmpl w:val="CD7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21D8"/>
    <w:multiLevelType w:val="hybridMultilevel"/>
    <w:tmpl w:val="247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57"/>
    <w:rsid w:val="0000244C"/>
    <w:rsid w:val="00021090"/>
    <w:rsid w:val="0006390D"/>
    <w:rsid w:val="00097C86"/>
    <w:rsid w:val="000D20BD"/>
    <w:rsid w:val="00151D28"/>
    <w:rsid w:val="00161922"/>
    <w:rsid w:val="001F49E9"/>
    <w:rsid w:val="00204593"/>
    <w:rsid w:val="00292A47"/>
    <w:rsid w:val="002A57B4"/>
    <w:rsid w:val="002B26C6"/>
    <w:rsid w:val="002C6BED"/>
    <w:rsid w:val="002E09F1"/>
    <w:rsid w:val="002F73BF"/>
    <w:rsid w:val="003010DA"/>
    <w:rsid w:val="00312071"/>
    <w:rsid w:val="0037616A"/>
    <w:rsid w:val="003E12D4"/>
    <w:rsid w:val="004779D1"/>
    <w:rsid w:val="00503461"/>
    <w:rsid w:val="00513F41"/>
    <w:rsid w:val="005241D7"/>
    <w:rsid w:val="00534275"/>
    <w:rsid w:val="0058449A"/>
    <w:rsid w:val="005B0EAF"/>
    <w:rsid w:val="005D37B9"/>
    <w:rsid w:val="006053CA"/>
    <w:rsid w:val="007455E9"/>
    <w:rsid w:val="00782DCF"/>
    <w:rsid w:val="007B714B"/>
    <w:rsid w:val="00831186"/>
    <w:rsid w:val="00924685"/>
    <w:rsid w:val="0096047D"/>
    <w:rsid w:val="009624E1"/>
    <w:rsid w:val="009D4E33"/>
    <w:rsid w:val="00A07CEB"/>
    <w:rsid w:val="00AD2D4E"/>
    <w:rsid w:val="00AD7B57"/>
    <w:rsid w:val="00AE1310"/>
    <w:rsid w:val="00AF6F40"/>
    <w:rsid w:val="00B43593"/>
    <w:rsid w:val="00B8180C"/>
    <w:rsid w:val="00C3103D"/>
    <w:rsid w:val="00C6528A"/>
    <w:rsid w:val="00CE43F4"/>
    <w:rsid w:val="00D07D89"/>
    <w:rsid w:val="00DB5571"/>
    <w:rsid w:val="00E43AF2"/>
    <w:rsid w:val="00ED15B6"/>
    <w:rsid w:val="00EE3E11"/>
    <w:rsid w:val="00EF44F1"/>
    <w:rsid w:val="00F51219"/>
    <w:rsid w:val="00FB592B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BD5"/>
  <w15:chartTrackingRefBased/>
  <w15:docId w15:val="{36064C6E-03B9-48EE-A3F3-649FE5B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F73BF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Stinking Styles2,Tekst przypisu- dokt,Char Char Char,Char Char Char Char Char Char Char Char Char,Char Char Ch,o,Car"/>
    <w:basedOn w:val="Normlny"/>
    <w:link w:val="TextpoznmkypodiarouChar"/>
    <w:uiPriority w:val="99"/>
    <w:rsid w:val="002F73B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Stinking Styles2 Char,Tekst przypisu- dokt Char,Char Char Char Char,Char Char Ch Char,o Char"/>
    <w:basedOn w:val="Predvolenpsmoodseku"/>
    <w:link w:val="Textpoznmkypodiarou"/>
    <w:uiPriority w:val="99"/>
    <w:rsid w:val="002F73BF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Bullets">
    <w:name w:val="Bullets"/>
    <w:basedOn w:val="Normlny"/>
    <w:rsid w:val="002F73BF"/>
    <w:pPr>
      <w:numPr>
        <w:numId w:val="2"/>
      </w:numPr>
      <w:spacing w:before="60" w:after="120" w:line="240" w:lineRule="auto"/>
      <w:jc w:val="both"/>
    </w:pPr>
    <w:rPr>
      <w:rFonts w:ascii="Arial" w:eastAsia="Times New Roman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2F73B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73B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F73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BD5"/>
  </w:style>
  <w:style w:type="paragraph" w:styleId="Pta">
    <w:name w:val="footer"/>
    <w:basedOn w:val="Normlny"/>
    <w:link w:val="Pt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BD5"/>
  </w:style>
  <w:style w:type="table" w:styleId="Mriekatabuky">
    <w:name w:val="Table Grid"/>
    <w:basedOn w:val="Normlnatabuka"/>
    <w:uiPriority w:val="59"/>
    <w:rsid w:val="0051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3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Hambalkovaa</dc:creator>
  <cp:keywords/>
  <dc:description/>
  <cp:lastModifiedBy>Hambalkovaa</cp:lastModifiedBy>
  <cp:revision>33</cp:revision>
  <dcterms:created xsi:type="dcterms:W3CDTF">2018-02-27T21:13:00Z</dcterms:created>
  <dcterms:modified xsi:type="dcterms:W3CDTF">2018-08-07T20:51:00Z</dcterms:modified>
</cp:coreProperties>
</file>